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9F8" w:rsidRDefault="007149F8" w:rsidP="007149F8">
      <w:pPr>
        <w:pStyle w:val="1"/>
      </w:pPr>
      <w:r>
        <w:t>(105-57-7)1,1-二乙氧基乙烷的理化及危险特性表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7149F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标</w:t>
            </w:r>
          </w:p>
          <w:p w:rsidR="007149F8" w:rsidRDefault="007149F8" w:rsidP="0090435F">
            <w:pPr>
              <w:spacing w:line="266"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中文名:</w:t>
            </w:r>
            <w:r>
              <w:rPr>
                <w:rFonts w:ascii="宋体" w:hAnsi="宋体" w:hint="eastAsia"/>
                <w:szCs w:val="18"/>
              </w:rPr>
              <w:t xml:space="preserve"> 1,1-二乙氧基乙烷；乙缩醛</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英文名:</w:t>
            </w:r>
            <w:r>
              <w:rPr>
                <w:rFonts w:ascii="宋体" w:hAnsi="宋体" w:hint="eastAsia"/>
                <w:szCs w:val="18"/>
              </w:rPr>
              <w:t xml:space="preserve"> 1,1-diethoxyethane</w:t>
            </w:r>
            <w:r>
              <w:rPr>
                <w:rFonts w:ascii="宋体" w:hAnsi="宋体" w:hint="eastAsia"/>
                <w:szCs w:val="18"/>
                <w:lang w:val="en-GB"/>
              </w:rPr>
              <w:t>；</w:t>
            </w:r>
            <w:r>
              <w:rPr>
                <w:rFonts w:ascii="宋体" w:hAnsi="宋体" w:hint="eastAsia"/>
                <w:szCs w:val="18"/>
              </w:rPr>
              <w:t>acetal</w:t>
            </w:r>
          </w:p>
        </w:tc>
      </w:tr>
      <w:tr w:rsidR="007149F8" w:rsidTr="0090435F">
        <w:trPr>
          <w:cantSplit/>
          <w:jc w:val="center"/>
        </w:trPr>
        <w:tc>
          <w:tcPr>
            <w:tcW w:w="489" w:type="dxa"/>
            <w:vMerge/>
            <w:tcBorders>
              <w:left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r>
              <w:rPr>
                <w:rFonts w:ascii="宋体" w:hAnsi="宋体" w:hint="eastAsia"/>
                <w:szCs w:val="18"/>
              </w:rPr>
              <w:t>O</w:t>
            </w:r>
            <w:r>
              <w:rPr>
                <w:rFonts w:ascii="宋体" w:hAnsi="宋体" w:hint="eastAsia"/>
                <w:szCs w:val="18"/>
                <w:vertAlign w:val="subscript"/>
              </w:rPr>
              <w:t>2</w:t>
            </w:r>
          </w:p>
        </w:tc>
        <w:tc>
          <w:tcPr>
            <w:tcW w:w="2276"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color w:val="FF6600"/>
              </w:rPr>
            </w:pPr>
            <w:r>
              <w:rPr>
                <w:rFonts w:ascii="宋体" w:hAnsi="宋体" w:hint="eastAsia"/>
              </w:rPr>
              <w:t>分子量：118.17</w:t>
            </w:r>
          </w:p>
        </w:tc>
        <w:tc>
          <w:tcPr>
            <w:tcW w:w="2170"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UN编号：1088</w:t>
            </w:r>
          </w:p>
        </w:tc>
      </w:tr>
      <w:tr w:rsidR="007149F8" w:rsidTr="0090435F">
        <w:trPr>
          <w:cantSplit/>
          <w:jc w:val="center"/>
        </w:trPr>
        <w:tc>
          <w:tcPr>
            <w:tcW w:w="489" w:type="dxa"/>
            <w:vMerge/>
            <w:tcBorders>
              <w:left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危险类别：第3.1类  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危规号： 31031</w:t>
            </w:r>
          </w:p>
        </w:tc>
        <w:tc>
          <w:tcPr>
            <w:tcW w:w="2170"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CAS号：</w:t>
            </w:r>
            <w:r>
              <w:rPr>
                <w:rFonts w:ascii="宋体" w:hAnsi="宋体" w:hint="eastAsia"/>
                <w:szCs w:val="18"/>
              </w:rPr>
              <w:t>105-57-7</w:t>
            </w:r>
          </w:p>
        </w:tc>
      </w:tr>
      <w:tr w:rsidR="007149F8" w:rsidTr="0090435F">
        <w:trPr>
          <w:cantSplit/>
          <w:jc w:val="center"/>
        </w:trPr>
        <w:tc>
          <w:tcPr>
            <w:tcW w:w="489" w:type="dxa"/>
            <w:vMerge/>
            <w:tcBorders>
              <w:left w:val="single" w:sz="4" w:space="0" w:color="auto"/>
              <w:bottom w:val="nil"/>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包装标志： 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 xml:space="preserve">包装类别：Ⅰ类 </w:t>
            </w:r>
          </w:p>
        </w:tc>
      </w:tr>
      <w:tr w:rsidR="007149F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理</w:t>
            </w:r>
          </w:p>
          <w:p w:rsidR="007149F8" w:rsidRDefault="007149F8" w:rsidP="0090435F">
            <w:pPr>
              <w:spacing w:line="266" w:lineRule="exact"/>
              <w:jc w:val="center"/>
              <w:rPr>
                <w:rFonts w:ascii="宋体" w:hAnsi="宋体"/>
              </w:rPr>
            </w:pPr>
            <w:r>
              <w:rPr>
                <w:rFonts w:ascii="宋体" w:hAnsi="宋体" w:hint="eastAsia"/>
              </w:rPr>
              <w:t>化</w:t>
            </w:r>
          </w:p>
          <w:p w:rsidR="007149F8" w:rsidRDefault="007149F8" w:rsidP="0090435F">
            <w:pPr>
              <w:spacing w:line="266" w:lineRule="exact"/>
              <w:jc w:val="center"/>
              <w:rPr>
                <w:rFonts w:ascii="宋体" w:hAnsi="宋体"/>
              </w:rPr>
            </w:pPr>
            <w:r>
              <w:rPr>
                <w:rFonts w:ascii="宋体" w:hAnsi="宋体" w:hint="eastAsia"/>
              </w:rPr>
              <w:t>性</w:t>
            </w:r>
          </w:p>
          <w:p w:rsidR="007149F8" w:rsidRDefault="007149F8"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外观与性状：</w:t>
            </w:r>
            <w:r>
              <w:rPr>
                <w:rFonts w:ascii="宋体" w:hAnsi="宋体" w:hint="eastAsia"/>
                <w:szCs w:val="18"/>
              </w:rPr>
              <w:t>无色易挥发液体，有芳香气味。</w:t>
            </w:r>
          </w:p>
        </w:tc>
      </w:tr>
      <w:tr w:rsidR="007149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溶解性：</w:t>
            </w:r>
            <w:r>
              <w:rPr>
                <w:rFonts w:ascii="宋体" w:hAnsi="宋体" w:hint="eastAsia"/>
                <w:szCs w:val="18"/>
              </w:rPr>
              <w:t>溶于水、乙醇、乙醚。</w:t>
            </w:r>
          </w:p>
        </w:tc>
      </w:tr>
      <w:tr w:rsidR="007149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熔点（℃）：-100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沸点（℃）：</w:t>
            </w:r>
            <w:r>
              <w:rPr>
                <w:rFonts w:ascii="宋体" w:hAnsi="宋体" w:hint="eastAsia"/>
                <w:szCs w:val="18"/>
              </w:rPr>
              <w:t>102.7</w:t>
            </w:r>
          </w:p>
        </w:tc>
      </w:tr>
      <w:tr w:rsidR="007149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相对密度（水＝1）：</w:t>
            </w:r>
            <w:r>
              <w:rPr>
                <w:rFonts w:ascii="宋体" w:hAnsi="宋体" w:hint="eastAsia"/>
                <w:szCs w:val="18"/>
              </w:rPr>
              <w:t>0.83</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相对密度（空气＝1）：4.08</w:t>
            </w:r>
          </w:p>
        </w:tc>
      </w:tr>
      <w:tr w:rsidR="007149F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饱和蒸气压（kPa）：</w:t>
            </w:r>
            <w:r>
              <w:rPr>
                <w:rFonts w:ascii="宋体" w:hAnsi="宋体" w:hint="eastAsia"/>
                <w:szCs w:val="18"/>
              </w:rPr>
              <w:t>1.33</w:t>
            </w:r>
            <w:r>
              <w:rPr>
                <w:rFonts w:ascii="宋体" w:hAnsi="宋体" w:hint="eastAsia"/>
              </w:rPr>
              <w:t>（8.0℃）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燃烧热（kJ/mol）：459.4</w:t>
            </w:r>
          </w:p>
        </w:tc>
      </w:tr>
      <w:tr w:rsidR="007149F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 xml:space="preserve">临界压力（MPa）： </w:t>
            </w:r>
          </w:p>
        </w:tc>
      </w:tr>
      <w:tr w:rsidR="007149F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燃</w:t>
            </w:r>
          </w:p>
          <w:p w:rsidR="007149F8" w:rsidRDefault="007149F8" w:rsidP="0090435F">
            <w:pPr>
              <w:spacing w:line="266" w:lineRule="exact"/>
              <w:jc w:val="center"/>
              <w:rPr>
                <w:rFonts w:ascii="宋体" w:hAnsi="宋体"/>
              </w:rPr>
            </w:pPr>
            <w:r>
              <w:rPr>
                <w:rFonts w:ascii="宋体" w:hAnsi="宋体" w:hint="eastAsia"/>
              </w:rPr>
              <w:t>烧</w:t>
            </w:r>
          </w:p>
          <w:p w:rsidR="007149F8" w:rsidRDefault="007149F8" w:rsidP="0090435F">
            <w:pPr>
              <w:spacing w:line="266" w:lineRule="exact"/>
              <w:jc w:val="center"/>
              <w:rPr>
                <w:rFonts w:ascii="宋体" w:hAnsi="宋体"/>
              </w:rPr>
            </w:pPr>
            <w:r>
              <w:rPr>
                <w:rFonts w:ascii="宋体" w:hAnsi="宋体" w:hint="eastAsia"/>
              </w:rPr>
              <w:t>爆</w:t>
            </w:r>
          </w:p>
          <w:p w:rsidR="007149F8" w:rsidRDefault="007149F8" w:rsidP="0090435F">
            <w:pPr>
              <w:spacing w:line="266" w:lineRule="exact"/>
              <w:jc w:val="center"/>
              <w:rPr>
                <w:rFonts w:ascii="宋体" w:hAnsi="宋体"/>
              </w:rPr>
            </w:pPr>
            <w:r>
              <w:rPr>
                <w:rFonts w:ascii="宋体" w:hAnsi="宋体" w:hint="eastAsia"/>
              </w:rPr>
              <w:t>炸</w:t>
            </w:r>
          </w:p>
          <w:p w:rsidR="007149F8" w:rsidRDefault="007149F8" w:rsidP="0090435F">
            <w:pPr>
              <w:spacing w:line="266" w:lineRule="exact"/>
              <w:jc w:val="center"/>
              <w:rPr>
                <w:rFonts w:ascii="宋体" w:hAnsi="宋体"/>
              </w:rPr>
            </w:pPr>
            <w:r>
              <w:rPr>
                <w:rFonts w:ascii="宋体" w:hAnsi="宋体" w:hint="eastAsia"/>
              </w:rPr>
              <w:t>危</w:t>
            </w:r>
          </w:p>
          <w:p w:rsidR="007149F8" w:rsidRDefault="007149F8" w:rsidP="0090435F">
            <w:pPr>
              <w:spacing w:line="266" w:lineRule="exact"/>
              <w:jc w:val="center"/>
              <w:rPr>
                <w:rFonts w:ascii="宋体" w:hAnsi="宋体"/>
              </w:rPr>
            </w:pPr>
            <w:r>
              <w:rPr>
                <w:rFonts w:ascii="宋体" w:hAnsi="宋体" w:hint="eastAsia"/>
              </w:rPr>
              <w:t>险</w:t>
            </w:r>
          </w:p>
          <w:p w:rsidR="007149F8" w:rsidRDefault="007149F8" w:rsidP="0090435F">
            <w:pPr>
              <w:spacing w:line="266"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闪点（℃）： -21</w:t>
            </w:r>
          </w:p>
        </w:tc>
      </w:tr>
      <w:tr w:rsidR="007149F8" w:rsidTr="0090435F">
        <w:trPr>
          <w:cantSplit/>
          <w:jc w:val="center"/>
        </w:trPr>
        <w:tc>
          <w:tcPr>
            <w:tcW w:w="489" w:type="dxa"/>
            <w:vMerge/>
            <w:tcBorders>
              <w:top w:val="single" w:sz="4" w:space="0" w:color="auto"/>
              <w:left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1.6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爆炸上限（%）：10.4</w:t>
            </w:r>
          </w:p>
        </w:tc>
      </w:tr>
      <w:tr w:rsidR="007149F8" w:rsidTr="0090435F">
        <w:trPr>
          <w:cantSplit/>
          <w:jc w:val="center"/>
        </w:trPr>
        <w:tc>
          <w:tcPr>
            <w:tcW w:w="489" w:type="dxa"/>
            <w:vMerge/>
            <w:tcBorders>
              <w:top w:val="single" w:sz="4" w:space="0" w:color="auto"/>
              <w:left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引燃温度（℃）：230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最小点火能（mJ）：无资料</w:t>
            </w:r>
          </w:p>
        </w:tc>
      </w:tr>
      <w:tr w:rsidR="007149F8" w:rsidTr="0090435F">
        <w:trPr>
          <w:cantSplit/>
          <w:jc w:val="center"/>
        </w:trPr>
        <w:tc>
          <w:tcPr>
            <w:tcW w:w="489" w:type="dxa"/>
            <w:vMerge/>
            <w:tcBorders>
              <w:left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 xml:space="preserve">稳定性：稳定 </w:t>
            </w:r>
          </w:p>
        </w:tc>
      </w:tr>
      <w:tr w:rsidR="007149F8" w:rsidTr="0090435F">
        <w:trPr>
          <w:cantSplit/>
          <w:jc w:val="center"/>
        </w:trPr>
        <w:tc>
          <w:tcPr>
            <w:tcW w:w="489" w:type="dxa"/>
            <w:vMerge/>
            <w:tcBorders>
              <w:left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7149F8" w:rsidTr="0090435F">
        <w:trPr>
          <w:cantSplit/>
          <w:jc w:val="center"/>
        </w:trPr>
        <w:tc>
          <w:tcPr>
            <w:tcW w:w="489" w:type="dxa"/>
            <w:vMerge/>
            <w:tcBorders>
              <w:left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避免接触的条件：</w:t>
            </w:r>
            <w:r>
              <w:rPr>
                <w:rFonts w:ascii="宋体" w:hAnsi="宋体" w:hint="eastAsia"/>
                <w:szCs w:val="18"/>
              </w:rPr>
              <w:t>接触空气。</w:t>
            </w:r>
            <w:r>
              <w:rPr>
                <w:rFonts w:ascii="宋体" w:hAnsi="宋体" w:hint="eastAsia"/>
              </w:rPr>
              <w:t xml:space="preserve">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7149F8" w:rsidTr="0090435F">
        <w:trPr>
          <w:cantSplit/>
          <w:jc w:val="center"/>
        </w:trPr>
        <w:tc>
          <w:tcPr>
            <w:tcW w:w="489" w:type="dxa"/>
            <w:vMerge/>
            <w:tcBorders>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高热、明火及强氧化剂易引起燃烧。与氧化剂接触猛烈反应。接触空气或在光照条件下可生成具有潜在爆炸危险性的过氧化物。其蒸气比空气重，能在较低处扩散到相当远的地方，遇火源会着火回燃。</w:t>
            </w:r>
          </w:p>
        </w:tc>
      </w:tr>
      <w:tr w:rsidR="007149F8" w:rsidTr="0090435F">
        <w:trPr>
          <w:cantSplit/>
          <w:jc w:val="center"/>
        </w:trPr>
        <w:tc>
          <w:tcPr>
            <w:tcW w:w="489" w:type="dxa"/>
            <w:vMerge/>
            <w:tcBorders>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w:t>
            </w:r>
          </w:p>
        </w:tc>
      </w:tr>
      <w:tr w:rsidR="007149F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毒</w:t>
            </w:r>
          </w:p>
          <w:p w:rsidR="007149F8" w:rsidRDefault="007149F8"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4600 mg/kg(大鼠经口)</w:t>
            </w:r>
          </w:p>
          <w:p w:rsidR="007149F8" w:rsidRDefault="007149F8"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7149F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侵入途经：吸入、食入、经皮吸收。</w:t>
            </w:r>
          </w:p>
        </w:tc>
      </w:tr>
      <w:tr w:rsidR="007149F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szCs w:val="18"/>
              </w:rPr>
              <w:t>吸入、口服或经皮吸收，对机体可能产生危害。具有刺激性。</w:t>
            </w:r>
          </w:p>
        </w:tc>
      </w:tr>
      <w:tr w:rsidR="007149F8" w:rsidTr="0090435F">
        <w:trPr>
          <w:cantSplit/>
          <w:jc w:val="center"/>
        </w:trPr>
        <w:tc>
          <w:tcPr>
            <w:tcW w:w="489" w:type="dxa"/>
            <w:tcBorders>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急</w:t>
            </w:r>
          </w:p>
          <w:p w:rsidR="007149F8" w:rsidRDefault="007149F8"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7149F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防</w:t>
            </w:r>
          </w:p>
          <w:p w:rsidR="007149F8" w:rsidRDefault="007149F8"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w:t>
            </w:r>
          </w:p>
        </w:tc>
      </w:tr>
      <w:tr w:rsidR="007149F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泄</w:t>
            </w:r>
          </w:p>
          <w:p w:rsidR="007149F8" w:rsidRDefault="007149F8" w:rsidP="0090435F">
            <w:pPr>
              <w:spacing w:line="266" w:lineRule="exact"/>
              <w:jc w:val="center"/>
              <w:rPr>
                <w:rFonts w:ascii="宋体" w:hAnsi="宋体"/>
              </w:rPr>
            </w:pPr>
            <w:r>
              <w:rPr>
                <w:rFonts w:ascii="宋体" w:hAnsi="宋体" w:hint="eastAsia"/>
              </w:rPr>
              <w:t>漏</w:t>
            </w:r>
          </w:p>
          <w:p w:rsidR="007149F8" w:rsidRDefault="007149F8" w:rsidP="0090435F">
            <w:pPr>
              <w:spacing w:line="266" w:lineRule="exact"/>
              <w:jc w:val="center"/>
              <w:rPr>
                <w:rFonts w:ascii="宋体" w:hAnsi="宋体"/>
              </w:rPr>
            </w:pPr>
            <w:r>
              <w:rPr>
                <w:rFonts w:ascii="宋体" w:hAnsi="宋体" w:hint="eastAsia"/>
              </w:rPr>
              <w:t>处</w:t>
            </w:r>
          </w:p>
          <w:p w:rsidR="007149F8" w:rsidRDefault="007149F8"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149F8" w:rsidRDefault="007149F8"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7149F8" w:rsidTr="0090435F">
        <w:trPr>
          <w:cantSplit/>
          <w:jc w:val="center"/>
        </w:trPr>
        <w:tc>
          <w:tcPr>
            <w:tcW w:w="489" w:type="dxa"/>
            <w:tcBorders>
              <w:top w:val="single" w:sz="4" w:space="0" w:color="auto"/>
              <w:left w:val="single" w:sz="4" w:space="0" w:color="auto"/>
              <w:right w:val="single" w:sz="4" w:space="0" w:color="auto"/>
            </w:tcBorders>
            <w:vAlign w:val="center"/>
          </w:tcPr>
          <w:p w:rsidR="007149F8" w:rsidRDefault="007149F8" w:rsidP="0090435F">
            <w:pPr>
              <w:spacing w:line="266" w:lineRule="exact"/>
              <w:jc w:val="center"/>
              <w:rPr>
                <w:rFonts w:ascii="宋体" w:hAnsi="宋体"/>
              </w:rPr>
            </w:pPr>
            <w:r>
              <w:rPr>
                <w:rFonts w:ascii="宋体" w:hAnsi="宋体" w:hint="eastAsia"/>
              </w:rPr>
              <w:t>储</w:t>
            </w:r>
          </w:p>
          <w:p w:rsidR="007149F8" w:rsidRDefault="007149F8"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7149F8" w:rsidRDefault="007149F8" w:rsidP="0090435F">
            <w:pPr>
              <w:spacing w:line="266"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分开存放，切忌混储。不宜大量储存或久存。采用防爆型照明、通风设施。禁止使用易产生火花的机械设备和工具。储区应备有泄漏应急处理设备和合适的收容材料。</w:t>
            </w:r>
          </w:p>
          <w:p w:rsidR="007149F8" w:rsidRDefault="007149F8"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F8"/>
    <w:rsid w:val="007149F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CCC69-E0EC-4AE3-9A98-F748D725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149F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149F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Company>zyhq</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